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1241D" w14:textId="3BA1BBAC" w:rsidR="00182861" w:rsidRPr="00FE1B3F" w:rsidRDefault="00182861" w:rsidP="00182861">
      <w:pPr>
        <w:pStyle w:val="Default"/>
        <w:jc w:val="center"/>
        <w:rPr>
          <w:b/>
          <w:sz w:val="32"/>
          <w:szCs w:val="32"/>
        </w:rPr>
      </w:pPr>
      <w:r w:rsidRPr="00FE1B3F">
        <w:rPr>
          <w:b/>
          <w:sz w:val="32"/>
          <w:szCs w:val="32"/>
        </w:rPr>
        <w:t>KRITÉRIA HODNOCENÍ PROFILOVÉ ČÁSTI MATURITNÍ ZKOUŠ</w:t>
      </w:r>
      <w:r w:rsidR="008C4597">
        <w:rPr>
          <w:b/>
          <w:sz w:val="32"/>
          <w:szCs w:val="32"/>
        </w:rPr>
        <w:t>KY Z CIZÍHO JAZYKA</w:t>
      </w:r>
    </w:p>
    <w:p w14:paraId="746AC050" w14:textId="77777777" w:rsidR="00182861" w:rsidRDefault="00182861" w:rsidP="00182861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</w:p>
    <w:p w14:paraId="5F5000CB" w14:textId="3AB1D003" w:rsidR="008E01EB" w:rsidRPr="0088236E" w:rsidRDefault="00182861" w:rsidP="00182861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A) </w:t>
      </w:r>
      <w:r w:rsidR="008E01EB" w:rsidRPr="0088236E">
        <w:rPr>
          <w:b/>
          <w:sz w:val="28"/>
          <w:szCs w:val="28"/>
        </w:rPr>
        <w:t>KRITÉRIA HODNOCENÍ PÍSEMNÉ PRÁ</w:t>
      </w:r>
      <w:r w:rsidR="008C4597">
        <w:rPr>
          <w:b/>
          <w:sz w:val="28"/>
          <w:szCs w:val="28"/>
        </w:rPr>
        <w:t>CE Z CIZÍHO JAZYKA</w:t>
      </w:r>
    </w:p>
    <w:p w14:paraId="7DAB16CE" w14:textId="2C42BE81" w:rsidR="00A83D92" w:rsidRDefault="00A83D92" w:rsidP="0088236E">
      <w:pPr>
        <w:pStyle w:val="Default"/>
        <w:jc w:val="both"/>
      </w:pPr>
      <w:r>
        <w:t>Písemnou prací z cizího jazyka se rozumí vytvoření souvislého textu nebo textů v celkovém minimálním rozsahu 200 slov. Písemná práce trvá nejméně 60 minut včetně času na volbu zadání. Při konání písemné práce má žák možnost použít překladový slovník. Pro písemnou práci z konkrétního cizího jazyka ředitel školy stanoví 1 nebo více zadání, která se žákům zpřístupní bezprostředně před zahájením zkoušky. Pokud je stanoveno více než 1 zadání, žák si po zahájení zkoušky 1 zadání zvolí. Zadání písemné práce obsahuje název zadání, způsob zpracování zadání a popřípadě výchozí text k zadání.</w:t>
      </w:r>
    </w:p>
    <w:p w14:paraId="17932126" w14:textId="77777777" w:rsidR="00A83D92" w:rsidRDefault="00A83D92" w:rsidP="0088236E">
      <w:pPr>
        <w:pStyle w:val="Default"/>
        <w:jc w:val="both"/>
      </w:pPr>
    </w:p>
    <w:p w14:paraId="583AC028" w14:textId="3DC5E5E5" w:rsidR="0088236E" w:rsidRPr="0088236E" w:rsidRDefault="0088236E" w:rsidP="0088236E">
      <w:pPr>
        <w:pStyle w:val="Default"/>
        <w:jc w:val="both"/>
      </w:pPr>
      <w:r w:rsidRPr="0088236E">
        <w:t>Dílčí zkouška konaná formou písemné prá</w:t>
      </w:r>
      <w:r w:rsidR="008C4597">
        <w:t>ce (PP) ze zkušebního předmět</w:t>
      </w:r>
      <w:r w:rsidR="00936562">
        <w:t>u Cizí jazyk (AJ</w:t>
      </w:r>
      <w:r w:rsidR="008C4597">
        <w:t>)</w:t>
      </w:r>
      <w:r w:rsidRPr="0088236E">
        <w:t xml:space="preserve"> bude hodnocena v plné shodě s původními kritérii CERMATu:</w:t>
      </w:r>
    </w:p>
    <w:p w14:paraId="452D5D32" w14:textId="77777777" w:rsidR="0088236E" w:rsidRPr="0088236E" w:rsidRDefault="0088236E" w:rsidP="0088236E">
      <w:pPr>
        <w:pStyle w:val="Default"/>
        <w:jc w:val="both"/>
      </w:pPr>
    </w:p>
    <w:p w14:paraId="1B3B4C7B" w14:textId="1372482F" w:rsidR="008E01EB" w:rsidRDefault="002A23D5" w:rsidP="002A23D5">
      <w:pPr>
        <w:spacing w:line="240" w:lineRule="auto"/>
        <w:jc w:val="both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Písemná práce se skládá ze dvou částí se samostatným zadáním. Každá z částí je</w:t>
      </w:r>
      <w:r>
        <w:rPr>
          <w:rFonts w:cstheme="minorHAnsi"/>
          <w:sz w:val="24"/>
          <w:szCs w:val="24"/>
        </w:rPr>
        <w:t xml:space="preserve"> </w:t>
      </w:r>
      <w:r w:rsidRPr="00E13CD2">
        <w:rPr>
          <w:rFonts w:cstheme="minorHAnsi"/>
          <w:sz w:val="24"/>
          <w:szCs w:val="24"/>
        </w:rPr>
        <w:t>hodnocena zvlášť podle 4 základních kritérií, výsledné hodnocení písemné práce je</w:t>
      </w:r>
      <w:r>
        <w:rPr>
          <w:rFonts w:cstheme="minorHAnsi"/>
          <w:sz w:val="24"/>
          <w:szCs w:val="24"/>
        </w:rPr>
        <w:t xml:space="preserve"> </w:t>
      </w:r>
      <w:r w:rsidRPr="00E13CD2">
        <w:rPr>
          <w:rFonts w:cstheme="minorHAnsi"/>
          <w:sz w:val="24"/>
          <w:szCs w:val="24"/>
        </w:rPr>
        <w:t>součtem bodů dosažených v obou částech.</w:t>
      </w:r>
    </w:p>
    <w:p w14:paraId="369C99E3" w14:textId="77777777" w:rsidR="002A23D5" w:rsidRPr="002A23D5" w:rsidRDefault="002A23D5" w:rsidP="002A23D5">
      <w:pPr>
        <w:spacing w:line="240" w:lineRule="auto"/>
        <w:jc w:val="both"/>
        <w:rPr>
          <w:rFonts w:cstheme="minorHAnsi"/>
          <w:sz w:val="24"/>
          <w:szCs w:val="24"/>
        </w:rPr>
      </w:pPr>
      <w:r w:rsidRPr="002A23D5">
        <w:rPr>
          <w:rFonts w:cstheme="minorHAnsi"/>
          <w:sz w:val="24"/>
          <w:szCs w:val="24"/>
        </w:rPr>
        <w:t>Kritéria (I. až IV.) a dílčí kritéria (IA až IVB) hodnocení pro 1. část písemné práce jsou následující:</w:t>
      </w:r>
    </w:p>
    <w:p w14:paraId="30C85C3A" w14:textId="77777777" w:rsidR="002A23D5" w:rsidRPr="002A23D5" w:rsidRDefault="002A23D5" w:rsidP="002A23D5">
      <w:pPr>
        <w:spacing w:line="240" w:lineRule="auto"/>
        <w:rPr>
          <w:rFonts w:cstheme="minorHAnsi"/>
          <w:b/>
          <w:sz w:val="24"/>
          <w:szCs w:val="24"/>
        </w:rPr>
      </w:pPr>
      <w:r w:rsidRPr="002A23D5">
        <w:rPr>
          <w:rFonts w:cstheme="minorHAnsi"/>
          <w:b/>
          <w:sz w:val="24"/>
          <w:szCs w:val="24"/>
        </w:rPr>
        <w:t>I. Zpracování zadání / Obsah písemné práce</w:t>
      </w:r>
    </w:p>
    <w:p w14:paraId="1186F0D8" w14:textId="77777777" w:rsidR="002A23D5" w:rsidRPr="00E13CD2" w:rsidRDefault="002A23D5" w:rsidP="002A23D5">
      <w:pPr>
        <w:spacing w:line="240" w:lineRule="auto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IA Zadání</w:t>
      </w:r>
    </w:p>
    <w:p w14:paraId="00D244CC" w14:textId="77777777" w:rsidR="002A23D5" w:rsidRPr="00E13CD2" w:rsidRDefault="002A23D5" w:rsidP="002A23D5">
      <w:pPr>
        <w:spacing w:line="240" w:lineRule="auto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IB Rozsah, obsah textu</w:t>
      </w:r>
    </w:p>
    <w:p w14:paraId="1DA5EDAD" w14:textId="77777777" w:rsidR="002A23D5" w:rsidRPr="002A23D5" w:rsidRDefault="002A23D5" w:rsidP="002A23D5">
      <w:pPr>
        <w:spacing w:line="240" w:lineRule="auto"/>
        <w:rPr>
          <w:rFonts w:cstheme="minorHAnsi"/>
          <w:b/>
          <w:sz w:val="24"/>
          <w:szCs w:val="24"/>
        </w:rPr>
      </w:pPr>
      <w:r w:rsidRPr="002A23D5">
        <w:rPr>
          <w:rFonts w:cstheme="minorHAnsi"/>
          <w:b/>
          <w:sz w:val="24"/>
          <w:szCs w:val="24"/>
        </w:rPr>
        <w:t>II. Organizace a koheze textu</w:t>
      </w:r>
    </w:p>
    <w:p w14:paraId="019BB5BB" w14:textId="77777777" w:rsidR="002A23D5" w:rsidRPr="00E13CD2" w:rsidRDefault="002A23D5" w:rsidP="002A23D5">
      <w:pPr>
        <w:spacing w:line="240" w:lineRule="auto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IIA Organizace textu</w:t>
      </w:r>
    </w:p>
    <w:p w14:paraId="4D978888" w14:textId="77777777" w:rsidR="002A23D5" w:rsidRPr="00E13CD2" w:rsidRDefault="002A23D5" w:rsidP="002A23D5">
      <w:pPr>
        <w:spacing w:line="240" w:lineRule="auto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IIB Koheze textu a prostředky textové návaznosti</w:t>
      </w:r>
    </w:p>
    <w:p w14:paraId="495DB770" w14:textId="77777777" w:rsidR="002A23D5" w:rsidRPr="002A23D5" w:rsidRDefault="002A23D5" w:rsidP="002A23D5">
      <w:pPr>
        <w:spacing w:line="240" w:lineRule="auto"/>
        <w:rPr>
          <w:rFonts w:cstheme="minorHAnsi"/>
          <w:b/>
          <w:sz w:val="24"/>
          <w:szCs w:val="24"/>
        </w:rPr>
      </w:pPr>
      <w:r w:rsidRPr="002A23D5">
        <w:rPr>
          <w:rFonts w:cstheme="minorHAnsi"/>
          <w:b/>
          <w:sz w:val="24"/>
          <w:szCs w:val="24"/>
        </w:rPr>
        <w:t>III. Slovní zásoba a pravopis</w:t>
      </w:r>
    </w:p>
    <w:p w14:paraId="2B533235" w14:textId="77777777" w:rsidR="002A23D5" w:rsidRPr="00E13CD2" w:rsidRDefault="002A23D5" w:rsidP="002A23D5">
      <w:pPr>
        <w:spacing w:line="240" w:lineRule="auto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IIIA Přesnost použité slovní zásoby</w:t>
      </w:r>
    </w:p>
    <w:p w14:paraId="31B9F206" w14:textId="77777777" w:rsidR="002A23D5" w:rsidRPr="00E13CD2" w:rsidRDefault="002A23D5" w:rsidP="002A23D5">
      <w:pPr>
        <w:spacing w:line="240" w:lineRule="auto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IIIB Rozsah použité slovní zásoby</w:t>
      </w:r>
    </w:p>
    <w:p w14:paraId="458690B1" w14:textId="77777777" w:rsidR="002A23D5" w:rsidRPr="002A23D5" w:rsidRDefault="002A23D5" w:rsidP="002A23D5">
      <w:pPr>
        <w:spacing w:line="240" w:lineRule="auto"/>
        <w:rPr>
          <w:rFonts w:cstheme="minorHAnsi"/>
          <w:b/>
          <w:sz w:val="24"/>
          <w:szCs w:val="24"/>
        </w:rPr>
      </w:pPr>
      <w:r w:rsidRPr="002A23D5">
        <w:rPr>
          <w:rFonts w:cstheme="minorHAnsi"/>
          <w:b/>
          <w:sz w:val="24"/>
          <w:szCs w:val="24"/>
        </w:rPr>
        <w:t>IV. Mluvnické prostředky</w:t>
      </w:r>
    </w:p>
    <w:p w14:paraId="5669BF33" w14:textId="77777777" w:rsidR="002A23D5" w:rsidRPr="00E13CD2" w:rsidRDefault="002A23D5" w:rsidP="002A23D5">
      <w:pPr>
        <w:spacing w:line="240" w:lineRule="auto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IVA Přesnost použitých mluvnických prostředků</w:t>
      </w:r>
    </w:p>
    <w:p w14:paraId="31D8ECC2" w14:textId="0E471D5F" w:rsidR="002A23D5" w:rsidRDefault="002A23D5" w:rsidP="002A23D5">
      <w:pPr>
        <w:spacing w:line="240" w:lineRule="auto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IVB Rozsah použitých mluvnických prostředků</w:t>
      </w:r>
    </w:p>
    <w:p w14:paraId="593E75D7" w14:textId="77777777" w:rsidR="002A23D5" w:rsidRPr="00E13CD2" w:rsidRDefault="002A23D5" w:rsidP="002A23D5">
      <w:pPr>
        <w:spacing w:line="240" w:lineRule="auto"/>
        <w:rPr>
          <w:rFonts w:cstheme="minorHAnsi"/>
          <w:sz w:val="24"/>
          <w:szCs w:val="24"/>
        </w:rPr>
      </w:pPr>
    </w:p>
    <w:p w14:paraId="69FF9129" w14:textId="77777777" w:rsidR="002A23D5" w:rsidRPr="00E13CD2" w:rsidRDefault="002A23D5" w:rsidP="002A23D5">
      <w:pPr>
        <w:spacing w:line="240" w:lineRule="auto"/>
        <w:jc w:val="both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Každé dílčí kritérium je hodnoceno body na škále 0 – 1 – 2 – 3. Maximální počet</w:t>
      </w:r>
      <w:r>
        <w:rPr>
          <w:rFonts w:cstheme="minorHAnsi"/>
          <w:sz w:val="24"/>
          <w:szCs w:val="24"/>
        </w:rPr>
        <w:t xml:space="preserve"> </w:t>
      </w:r>
      <w:r w:rsidRPr="00E13CD2">
        <w:rPr>
          <w:rFonts w:cstheme="minorHAnsi"/>
          <w:sz w:val="24"/>
          <w:szCs w:val="24"/>
        </w:rPr>
        <w:t>dosažitelných bodů za první část písemné práce je 24 (8 x 3).</w:t>
      </w:r>
    </w:p>
    <w:p w14:paraId="0C70C510" w14:textId="77777777" w:rsidR="002A23D5" w:rsidRPr="00E13CD2" w:rsidRDefault="002A23D5" w:rsidP="002A23D5">
      <w:pPr>
        <w:spacing w:line="240" w:lineRule="auto"/>
        <w:rPr>
          <w:rFonts w:cstheme="minorHAnsi"/>
          <w:sz w:val="24"/>
          <w:szCs w:val="24"/>
        </w:rPr>
      </w:pPr>
    </w:p>
    <w:p w14:paraId="5D44B141" w14:textId="77777777" w:rsidR="002A23D5" w:rsidRPr="002A23D5" w:rsidRDefault="002A23D5" w:rsidP="002A23D5">
      <w:pPr>
        <w:spacing w:line="240" w:lineRule="auto"/>
        <w:rPr>
          <w:rFonts w:cstheme="minorHAnsi"/>
          <w:sz w:val="24"/>
          <w:szCs w:val="24"/>
        </w:rPr>
      </w:pPr>
      <w:r w:rsidRPr="002A23D5">
        <w:rPr>
          <w:rFonts w:cstheme="minorHAnsi"/>
          <w:sz w:val="24"/>
          <w:szCs w:val="24"/>
        </w:rPr>
        <w:t>Kritéria hodnocení pro 2. část písemné práce jsou následující:</w:t>
      </w:r>
    </w:p>
    <w:p w14:paraId="2F50FE87" w14:textId="77777777" w:rsidR="002A23D5" w:rsidRPr="002A23D5" w:rsidRDefault="002A23D5" w:rsidP="002A23D5">
      <w:pPr>
        <w:spacing w:line="240" w:lineRule="auto"/>
        <w:rPr>
          <w:rFonts w:cstheme="minorHAnsi"/>
          <w:b/>
          <w:sz w:val="24"/>
          <w:szCs w:val="24"/>
        </w:rPr>
      </w:pPr>
      <w:r w:rsidRPr="002A23D5">
        <w:rPr>
          <w:rFonts w:cstheme="minorHAnsi"/>
          <w:b/>
          <w:sz w:val="24"/>
          <w:szCs w:val="24"/>
        </w:rPr>
        <w:lastRenderedPageBreak/>
        <w:t>I. Zpracování zadání / Obsah písemné práce</w:t>
      </w:r>
    </w:p>
    <w:p w14:paraId="51415ACE" w14:textId="77777777" w:rsidR="002A23D5" w:rsidRPr="002A23D5" w:rsidRDefault="002A23D5" w:rsidP="002A23D5">
      <w:pPr>
        <w:spacing w:line="240" w:lineRule="auto"/>
        <w:rPr>
          <w:rFonts w:cstheme="minorHAnsi"/>
          <w:b/>
          <w:sz w:val="24"/>
          <w:szCs w:val="24"/>
        </w:rPr>
      </w:pPr>
      <w:r w:rsidRPr="002A23D5">
        <w:rPr>
          <w:rFonts w:cstheme="minorHAnsi"/>
          <w:b/>
          <w:sz w:val="24"/>
          <w:szCs w:val="24"/>
        </w:rPr>
        <w:t>II. Organizace a koheze textu</w:t>
      </w:r>
    </w:p>
    <w:p w14:paraId="534581E7" w14:textId="77777777" w:rsidR="002A23D5" w:rsidRPr="002A23D5" w:rsidRDefault="002A23D5" w:rsidP="002A23D5">
      <w:pPr>
        <w:spacing w:line="240" w:lineRule="auto"/>
        <w:rPr>
          <w:rFonts w:cstheme="minorHAnsi"/>
          <w:b/>
          <w:sz w:val="24"/>
          <w:szCs w:val="24"/>
        </w:rPr>
      </w:pPr>
      <w:r w:rsidRPr="002A23D5">
        <w:rPr>
          <w:rFonts w:cstheme="minorHAnsi"/>
          <w:b/>
          <w:sz w:val="24"/>
          <w:szCs w:val="24"/>
        </w:rPr>
        <w:t>III. Slovní zásoba a pravopis</w:t>
      </w:r>
    </w:p>
    <w:p w14:paraId="2C95586E" w14:textId="77777777" w:rsidR="002A23D5" w:rsidRPr="002A23D5" w:rsidRDefault="002A23D5" w:rsidP="002A23D5">
      <w:pPr>
        <w:spacing w:line="240" w:lineRule="auto"/>
        <w:rPr>
          <w:rFonts w:cstheme="minorHAnsi"/>
          <w:b/>
          <w:sz w:val="24"/>
          <w:szCs w:val="24"/>
        </w:rPr>
      </w:pPr>
      <w:r w:rsidRPr="002A23D5">
        <w:rPr>
          <w:rFonts w:cstheme="minorHAnsi"/>
          <w:b/>
          <w:sz w:val="24"/>
          <w:szCs w:val="24"/>
        </w:rPr>
        <w:t>IV. Mluvnické prostředky</w:t>
      </w:r>
    </w:p>
    <w:p w14:paraId="786E41CF" w14:textId="77777777" w:rsidR="002A23D5" w:rsidRPr="00E13CD2" w:rsidRDefault="002A23D5" w:rsidP="002A23D5">
      <w:pPr>
        <w:spacing w:line="240" w:lineRule="auto"/>
        <w:jc w:val="both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Každé kritérium je hodnoceno body na škále 0 – 1 – 2 – 3. Maximální počet dosažených</w:t>
      </w:r>
      <w:r>
        <w:rPr>
          <w:rFonts w:cstheme="minorHAnsi"/>
          <w:sz w:val="24"/>
          <w:szCs w:val="24"/>
        </w:rPr>
        <w:t xml:space="preserve"> </w:t>
      </w:r>
      <w:r w:rsidRPr="00E13CD2">
        <w:rPr>
          <w:rFonts w:cstheme="minorHAnsi"/>
          <w:sz w:val="24"/>
          <w:szCs w:val="24"/>
        </w:rPr>
        <w:t>bodů za druhou část písemné práce je 12 (4 x 3).</w:t>
      </w:r>
    </w:p>
    <w:p w14:paraId="38DF97D6" w14:textId="558A8A77" w:rsidR="002A23D5" w:rsidRDefault="002A23D5" w:rsidP="002A23D5">
      <w:pPr>
        <w:spacing w:line="240" w:lineRule="auto"/>
        <w:jc w:val="both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Maximální dosažitelné bodové hodnocení za celou písemnou práci je součtem bodů</w:t>
      </w:r>
      <w:r>
        <w:rPr>
          <w:rFonts w:cstheme="minorHAnsi"/>
          <w:sz w:val="24"/>
          <w:szCs w:val="24"/>
        </w:rPr>
        <w:t xml:space="preserve"> </w:t>
      </w:r>
      <w:r w:rsidRPr="00E13CD2">
        <w:rPr>
          <w:rFonts w:cstheme="minorHAnsi"/>
          <w:sz w:val="24"/>
          <w:szCs w:val="24"/>
        </w:rPr>
        <w:t>dosažených v obou částech písemné práce, tj. 36 bodů (24 + 12).</w:t>
      </w:r>
    </w:p>
    <w:p w14:paraId="47C0921B" w14:textId="6C115DAD" w:rsidR="00C7283A" w:rsidRPr="00E13CD2" w:rsidRDefault="008B4569" w:rsidP="008B4569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Minimální počet bodů pro zvládnutí písemné práce je 16</w:t>
      </w:r>
      <w:r w:rsidR="009365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bodů.</w:t>
      </w:r>
    </w:p>
    <w:p w14:paraId="74D0CD79" w14:textId="77777777" w:rsidR="002A23D5" w:rsidRPr="00E13CD2" w:rsidRDefault="002A23D5" w:rsidP="002A23D5">
      <w:pPr>
        <w:spacing w:line="240" w:lineRule="auto"/>
        <w:jc w:val="both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V případě, kdy je písemná práce v dílčím kritériu IA 1. části (Zadání) nebo v kritériu I.</w:t>
      </w:r>
      <w:r>
        <w:rPr>
          <w:rFonts w:cstheme="minorHAnsi"/>
          <w:sz w:val="24"/>
          <w:szCs w:val="24"/>
        </w:rPr>
        <w:t xml:space="preserve"> </w:t>
      </w:r>
      <w:r w:rsidRPr="00E13CD2">
        <w:rPr>
          <w:rFonts w:cstheme="minorHAnsi"/>
          <w:sz w:val="24"/>
          <w:szCs w:val="24"/>
        </w:rPr>
        <w:t>2. části (Zpracování zadání / Obsah písemné práce) hodnocena počtem bodů „0“, se</w:t>
      </w:r>
      <w:r>
        <w:rPr>
          <w:rFonts w:cstheme="minorHAnsi"/>
          <w:sz w:val="24"/>
          <w:szCs w:val="24"/>
        </w:rPr>
        <w:t xml:space="preserve"> daná část </w:t>
      </w:r>
      <w:r w:rsidRPr="00E13CD2">
        <w:rPr>
          <w:rFonts w:cstheme="minorHAnsi"/>
          <w:sz w:val="24"/>
          <w:szCs w:val="24"/>
        </w:rPr>
        <w:t>písemné práce podle dalších kritérií nehodnotí a výsledný počet bodů za tuto</w:t>
      </w:r>
      <w:r>
        <w:rPr>
          <w:rFonts w:cstheme="minorHAnsi"/>
          <w:sz w:val="24"/>
          <w:szCs w:val="24"/>
        </w:rPr>
        <w:t xml:space="preserve"> </w:t>
      </w:r>
      <w:r w:rsidRPr="00E13CD2">
        <w:rPr>
          <w:rFonts w:cstheme="minorHAnsi"/>
          <w:sz w:val="24"/>
          <w:szCs w:val="24"/>
        </w:rPr>
        <w:t>část je roven „0“.</w:t>
      </w:r>
    </w:p>
    <w:p w14:paraId="096787E8" w14:textId="77777777" w:rsidR="002A23D5" w:rsidRPr="00936562" w:rsidRDefault="002A23D5" w:rsidP="002A23D5">
      <w:pPr>
        <w:spacing w:line="240" w:lineRule="auto"/>
        <w:rPr>
          <w:rFonts w:cstheme="minorHAnsi"/>
          <w:bCs/>
          <w:sz w:val="24"/>
          <w:szCs w:val="24"/>
          <w:u w:val="single"/>
        </w:rPr>
      </w:pPr>
      <w:r w:rsidRPr="00936562">
        <w:rPr>
          <w:rFonts w:cstheme="minorHAnsi"/>
          <w:bCs/>
          <w:sz w:val="24"/>
          <w:szCs w:val="24"/>
          <w:u w:val="single"/>
        </w:rPr>
        <w:t>Dílčí kritérium IA 1. části nebo kritérium I. 2. části je hodnoceno počtem bodů „0“ v případě:</w:t>
      </w:r>
    </w:p>
    <w:p w14:paraId="63D586F3" w14:textId="77777777" w:rsidR="002A23D5" w:rsidRPr="00E13CD2" w:rsidRDefault="002A23D5" w:rsidP="002A23D5">
      <w:pPr>
        <w:pStyle w:val="Odstavecseseznamem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nedodržení tématu / komunikačního cíle: text nebo většina textu se nevztahuje k zadanému tématu / komunikační situaci;</w:t>
      </w:r>
    </w:p>
    <w:p w14:paraId="11A716E9" w14:textId="77777777" w:rsidR="002A23D5" w:rsidRPr="00E13CD2" w:rsidRDefault="002A23D5" w:rsidP="002A23D5">
      <w:pPr>
        <w:pStyle w:val="Odstavecseseznamem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nedodržení typu textu: není dodržen funkční styl a slohový postup;</w:t>
      </w:r>
    </w:p>
    <w:p w14:paraId="52269B12" w14:textId="77777777" w:rsidR="002A23D5" w:rsidRPr="00E13CD2" w:rsidRDefault="002A23D5" w:rsidP="002A23D5">
      <w:pPr>
        <w:pStyle w:val="Odstavecseseznamem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>nedodržení délky textu: text nesplňuje minimální požadovaný rozsah slov.</w:t>
      </w:r>
    </w:p>
    <w:p w14:paraId="2E17E4BF" w14:textId="77777777" w:rsidR="002A23D5" w:rsidRPr="00E13CD2" w:rsidRDefault="002A23D5" w:rsidP="002A23D5">
      <w:pPr>
        <w:spacing w:line="240" w:lineRule="auto"/>
        <w:rPr>
          <w:rFonts w:cstheme="minorHAnsi"/>
          <w:sz w:val="24"/>
          <w:szCs w:val="24"/>
        </w:rPr>
      </w:pPr>
    </w:p>
    <w:p w14:paraId="5B26DFFF" w14:textId="2D5D0B38" w:rsidR="00006B8D" w:rsidRDefault="002A23D5" w:rsidP="00936562">
      <w:pPr>
        <w:spacing w:line="240" w:lineRule="auto"/>
        <w:jc w:val="both"/>
        <w:rPr>
          <w:rFonts w:cstheme="minorHAnsi"/>
          <w:sz w:val="24"/>
          <w:szCs w:val="24"/>
        </w:rPr>
      </w:pPr>
      <w:r w:rsidRPr="00E13CD2">
        <w:rPr>
          <w:rFonts w:cstheme="minorHAnsi"/>
          <w:sz w:val="24"/>
          <w:szCs w:val="24"/>
        </w:rPr>
        <w:t xml:space="preserve">Předmětem hodnocení je pouze </w:t>
      </w:r>
      <w:r w:rsidRPr="00A83D92">
        <w:rPr>
          <w:rFonts w:cstheme="minorHAnsi"/>
          <w:bCs/>
          <w:sz w:val="24"/>
          <w:szCs w:val="24"/>
        </w:rPr>
        <w:t>autorský text žáka</w:t>
      </w:r>
      <w:r w:rsidRPr="00A83D92">
        <w:rPr>
          <w:rFonts w:cstheme="minorHAnsi"/>
          <w:sz w:val="24"/>
          <w:szCs w:val="24"/>
        </w:rPr>
        <w:t xml:space="preserve">. </w:t>
      </w:r>
      <w:r w:rsidRPr="00E13CD2">
        <w:rPr>
          <w:rFonts w:cstheme="minorHAnsi"/>
          <w:sz w:val="24"/>
          <w:szCs w:val="24"/>
        </w:rPr>
        <w:t>Text prokazatelně převzatý z</w:t>
      </w:r>
      <w:r>
        <w:rPr>
          <w:rFonts w:cstheme="minorHAnsi"/>
          <w:sz w:val="24"/>
          <w:szCs w:val="24"/>
        </w:rPr>
        <w:t xml:space="preserve"> </w:t>
      </w:r>
      <w:r w:rsidRPr="00E13CD2">
        <w:rPr>
          <w:rFonts w:cstheme="minorHAnsi"/>
          <w:sz w:val="24"/>
          <w:szCs w:val="24"/>
        </w:rPr>
        <w:t>dostupného zdroje se nezapočítává do celkového rozsahu písemné práce, a není tedy</w:t>
      </w:r>
      <w:r>
        <w:rPr>
          <w:rFonts w:cstheme="minorHAnsi"/>
          <w:sz w:val="24"/>
          <w:szCs w:val="24"/>
        </w:rPr>
        <w:t xml:space="preserve"> </w:t>
      </w:r>
      <w:r w:rsidRPr="00E13CD2">
        <w:rPr>
          <w:rFonts w:cstheme="minorHAnsi"/>
          <w:sz w:val="24"/>
          <w:szCs w:val="24"/>
        </w:rPr>
        <w:t>předmětem hodnocení.</w:t>
      </w:r>
    </w:p>
    <w:p w14:paraId="6584323E" w14:textId="77777777" w:rsidR="00936562" w:rsidRPr="00936562" w:rsidRDefault="00936562" w:rsidP="0093656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41D60C0" w14:textId="110655D5" w:rsidR="00006B8D" w:rsidRDefault="00006B8D" w:rsidP="0088236E">
      <w:pPr>
        <w:pStyle w:val="Default"/>
        <w:jc w:val="both"/>
      </w:pPr>
      <w:r>
        <w:t>Písemné práce žáků s PUP (přiznaným uzpůsobením podmínek)</w:t>
      </w:r>
      <w:r w:rsidR="0088236E">
        <w:t xml:space="preserve"> budou hodnoceny</w:t>
      </w:r>
      <w:r>
        <w:t xml:space="preserve"> na základě doporučení příslušného školského poradenského pracoviště</w:t>
      </w:r>
      <w:r w:rsidR="000F7FAF">
        <w:t>. Podle těchto doporučení bude navýšen ča</w:t>
      </w:r>
      <w:r>
        <w:t>s</w:t>
      </w:r>
      <w:r w:rsidR="000F7FAF">
        <w:t xml:space="preserve">, případně </w:t>
      </w:r>
      <w:r>
        <w:t xml:space="preserve">nebudou penalizovány </w:t>
      </w:r>
      <w:r w:rsidR="00510428">
        <w:t xml:space="preserve">tzv. </w:t>
      </w:r>
      <w:r>
        <w:t>tolerované jevy</w:t>
      </w:r>
      <w:r w:rsidR="000F7FAF">
        <w:t>. Dále mohou být případně povoleny další pomůcky (notebook) či přítomnost asistenta pedagoga</w:t>
      </w:r>
      <w:r w:rsidR="00510428">
        <w:t>.</w:t>
      </w:r>
    </w:p>
    <w:p w14:paraId="3B17804E" w14:textId="0FA20575" w:rsidR="00C7283A" w:rsidRDefault="00C7283A" w:rsidP="0088236E">
      <w:pPr>
        <w:pStyle w:val="Default"/>
        <w:jc w:val="both"/>
      </w:pPr>
    </w:p>
    <w:p w14:paraId="55B81A2B" w14:textId="12D0B419" w:rsidR="00C7283A" w:rsidRDefault="00C7283A" w:rsidP="0088236E">
      <w:pPr>
        <w:pStyle w:val="Default"/>
        <w:jc w:val="both"/>
      </w:pPr>
    </w:p>
    <w:p w14:paraId="6B99D9B4" w14:textId="77777777" w:rsidR="00C7283A" w:rsidRDefault="00C7283A" w:rsidP="0088236E">
      <w:pPr>
        <w:pStyle w:val="Default"/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31"/>
        <w:gridCol w:w="1249"/>
      </w:tblGrid>
      <w:tr w:rsidR="00FB31DE" w14:paraId="380637ED" w14:textId="77777777">
        <w:trPr>
          <w:gridAfter w:val="1"/>
          <w:wAfter w:w="1249" w:type="dxa"/>
          <w:trHeight w:val="99"/>
        </w:trPr>
        <w:tc>
          <w:tcPr>
            <w:tcW w:w="7931" w:type="dxa"/>
          </w:tcPr>
          <w:p w14:paraId="36614CE4" w14:textId="77777777" w:rsidR="00FB31DE" w:rsidRDefault="00FB31DE" w:rsidP="0088236E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208A9A6" w14:textId="77777777" w:rsidR="00956920" w:rsidRDefault="00956920" w:rsidP="0088236E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DB37117" w14:textId="4DCFA563" w:rsidR="00956920" w:rsidRDefault="00956920" w:rsidP="0088236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FB31DE" w14:paraId="46D8D7AD" w14:textId="77777777" w:rsidTr="0080353F">
        <w:trPr>
          <w:trHeight w:val="99"/>
        </w:trPr>
        <w:tc>
          <w:tcPr>
            <w:tcW w:w="9180" w:type="dxa"/>
            <w:gridSpan w:val="2"/>
          </w:tcPr>
          <w:p w14:paraId="54C04FC5" w14:textId="01A8785B" w:rsidR="0067272A" w:rsidRPr="0088236E" w:rsidRDefault="00182861" w:rsidP="00656542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B) </w:t>
            </w:r>
            <w:r w:rsidR="0067272A" w:rsidRPr="0088236E">
              <w:rPr>
                <w:b/>
                <w:sz w:val="28"/>
                <w:szCs w:val="28"/>
              </w:rPr>
              <w:t xml:space="preserve">KRITÉRIA HODNOCENÍ </w:t>
            </w:r>
            <w:r w:rsidR="0067272A">
              <w:rPr>
                <w:b/>
                <w:sz w:val="28"/>
                <w:szCs w:val="28"/>
              </w:rPr>
              <w:t>ÚSTNÍ ZKOUŠKY</w:t>
            </w:r>
            <w:r w:rsidR="00C7283A">
              <w:rPr>
                <w:b/>
                <w:sz w:val="28"/>
                <w:szCs w:val="28"/>
              </w:rPr>
              <w:t xml:space="preserve"> Z CIZÍHO JAZYKA</w:t>
            </w:r>
          </w:p>
          <w:p w14:paraId="52229F42" w14:textId="0841B831" w:rsidR="00B2472A" w:rsidRDefault="00B2472A" w:rsidP="00656542">
            <w:pPr>
              <w:pStyle w:val="Default"/>
              <w:jc w:val="both"/>
            </w:pPr>
          </w:p>
          <w:p w14:paraId="240C6053" w14:textId="77777777" w:rsidR="00C7283A" w:rsidRDefault="00C7283A" w:rsidP="00656542">
            <w:pPr>
              <w:pStyle w:val="Default"/>
              <w:jc w:val="both"/>
            </w:pPr>
            <w:r>
              <w:t>Pro ústní zkoušku z cizího jazyka ředitel školy v souladu s rámcovým a školním vzdělávacím programem stanoví 20 až 30 témat. Témata jsou platná i pro opravnou zkoušku a náhradní zkoušku.</w:t>
            </w:r>
          </w:p>
          <w:p w14:paraId="642D17D6" w14:textId="77777777" w:rsidR="00C7283A" w:rsidRDefault="00C7283A" w:rsidP="00656542">
            <w:pPr>
              <w:pStyle w:val="Default"/>
              <w:jc w:val="both"/>
            </w:pPr>
            <w:r>
              <w:t xml:space="preserve">Ústní zkouška z cizího jazyka se uskutečňuje formou řízeného rozhovoru s využitím pracovního listu obsahujícího 1 nebo více zadání ke konkrétnímu tématu. U oborů vzdělání s </w:t>
            </w:r>
            <w:r>
              <w:lastRenderedPageBreak/>
              <w:t>kódovým označením kategorie dosaženého vzdělání M a L je součástí pracovního listu i zadání ověřující znalost terminologie vztahující se ke vzdělávací oblasti odborného vzdělávání.</w:t>
            </w:r>
          </w:p>
          <w:p w14:paraId="5C43F58F" w14:textId="24696629" w:rsidR="00C7283A" w:rsidRDefault="00C7283A" w:rsidP="00656542">
            <w:pPr>
              <w:pStyle w:val="Default"/>
              <w:jc w:val="both"/>
            </w:pPr>
            <w:r>
              <w:t>Bezprostředně před zahájením přípravy k ústní zkoušce si žák vylosuje jedno téma. Příprava k ústní zkoušce trvá 15 až 20 minut. Ústní zkouška trvá nejdéle 15 minut. V jednom dni nelze losovat dvakrát stejné téma.</w:t>
            </w:r>
          </w:p>
          <w:p w14:paraId="7A80EC49" w14:textId="77777777" w:rsidR="00C7283A" w:rsidRDefault="00C7283A" w:rsidP="00656542">
            <w:pPr>
              <w:pStyle w:val="Default"/>
              <w:jc w:val="both"/>
            </w:pPr>
          </w:p>
          <w:p w14:paraId="7B310834" w14:textId="6B30D87F" w:rsidR="00656542" w:rsidRDefault="00656542" w:rsidP="00656542">
            <w:pPr>
              <w:pStyle w:val="Default"/>
              <w:jc w:val="both"/>
            </w:pPr>
            <w:r w:rsidRPr="0088236E">
              <w:t xml:space="preserve">Dílčí zkouška konaná formou </w:t>
            </w:r>
            <w:r>
              <w:t>ústní zkoušky (ÚZ</w:t>
            </w:r>
            <w:r w:rsidR="00232F13">
              <w:t>) ze zkušeb</w:t>
            </w:r>
            <w:r w:rsidR="00936562">
              <w:t>ního předmětu Cizí jazyk (AJ</w:t>
            </w:r>
            <w:r w:rsidR="00232F13">
              <w:t>)</w:t>
            </w:r>
            <w:r w:rsidRPr="0088236E">
              <w:t xml:space="preserve"> bude </w:t>
            </w:r>
            <w:r w:rsidR="00B2472A">
              <w:t xml:space="preserve">opět </w:t>
            </w:r>
            <w:r w:rsidRPr="0088236E">
              <w:t>hodnocena v plné shodě s původními kritérii CERMATu:</w:t>
            </w:r>
          </w:p>
          <w:p w14:paraId="1E5B4F03" w14:textId="38450767" w:rsidR="00232F13" w:rsidRPr="00936562" w:rsidRDefault="00232F13" w:rsidP="00232F13">
            <w:pPr>
              <w:pStyle w:val="Default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936562">
              <w:rPr>
                <w:b/>
              </w:rPr>
              <w:t>Zadání/Obsah a projev</w:t>
            </w:r>
          </w:p>
          <w:p w14:paraId="4B39CC64" w14:textId="14521468" w:rsidR="00232F13" w:rsidRPr="00936562" w:rsidRDefault="00232F13" w:rsidP="00232F13">
            <w:pPr>
              <w:pStyle w:val="Default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936562">
              <w:rPr>
                <w:b/>
              </w:rPr>
              <w:t>Lexikální kompetence</w:t>
            </w:r>
          </w:p>
          <w:p w14:paraId="2BE59F51" w14:textId="2FC20CBA" w:rsidR="00232F13" w:rsidRPr="00936562" w:rsidRDefault="00232F13" w:rsidP="00232F13">
            <w:pPr>
              <w:pStyle w:val="Default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936562">
              <w:rPr>
                <w:b/>
              </w:rPr>
              <w:t>Gramatická kompetence a prostředky jazykové návaznosti¨</w:t>
            </w:r>
          </w:p>
          <w:p w14:paraId="2455EF37" w14:textId="33198375" w:rsidR="00232F13" w:rsidRPr="00936562" w:rsidRDefault="00232F13" w:rsidP="00232F13">
            <w:pPr>
              <w:pStyle w:val="Default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936562">
              <w:rPr>
                <w:b/>
              </w:rPr>
              <w:t>Fonologická kompetence</w:t>
            </w:r>
          </w:p>
          <w:p w14:paraId="74D4F8BE" w14:textId="295777AD" w:rsidR="00232F13" w:rsidRDefault="00232F13" w:rsidP="00232F13">
            <w:pPr>
              <w:pStyle w:val="Default"/>
              <w:ind w:left="1080"/>
              <w:jc w:val="both"/>
            </w:pPr>
          </w:p>
          <w:p w14:paraId="0D8BCEB5" w14:textId="68E1FFE9" w:rsidR="00232F13" w:rsidRDefault="00232F13" w:rsidP="00232F13">
            <w:pPr>
              <w:pStyle w:val="Default"/>
              <w:jc w:val="both"/>
            </w:pPr>
            <w:r>
              <w:t>Každá část zkoušky je hodnocena podle prvních tří kritérií, čtvrté kritérium je  aplikováno na celou zkoušku. Každé kritérium  je hodnoceno na bodové škále 0 – 1 – 2 – 3. Maximální dosažený počet bodů za každou z částí zkoušky je 9 (3 kritéria max. po třech bodech), celkový počet dosažených bodů celé dílčí zkoušky (včetně započtení bodů za čtvrté kritérium uplatněné na celou zkoušku) je 30 (tj. 27 + 3). V případě, kdy je jakákoli z částí ústního projevu v kritériu I. (Zadání/Obsah a projev) hodnocena počtem bodů „0“, podle dalších kritérií se ústní projev dané části nehodnotí a výsledný počet bodů za tuto část ústního projevu je roven „0“.</w:t>
            </w:r>
          </w:p>
          <w:p w14:paraId="17933D38" w14:textId="77777777" w:rsidR="00936562" w:rsidRDefault="00274431" w:rsidP="008B4569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pacing w:val="40"/>
              </w:rPr>
            </w:pPr>
            <w:r w:rsidRPr="00936562">
              <w:rPr>
                <w:rFonts w:asciiTheme="minorHAnsi" w:hAnsiTheme="minorHAnsi" w:cstheme="minorHAnsi"/>
                <w:u w:val="single"/>
              </w:rPr>
              <w:t xml:space="preserve">V kritériu I. se uděluje „0“ v </w:t>
            </w:r>
            <w:proofErr w:type="gramStart"/>
            <w:r w:rsidRPr="00936562">
              <w:rPr>
                <w:rFonts w:asciiTheme="minorHAnsi" w:hAnsiTheme="minorHAnsi" w:cstheme="minorHAnsi"/>
                <w:u w:val="single"/>
              </w:rPr>
              <w:t>případě :</w:t>
            </w:r>
            <w:proofErr w:type="gramEnd"/>
            <w:r w:rsidRPr="008B4569">
              <w:rPr>
                <w:rFonts w:asciiTheme="minorHAnsi" w:hAnsiTheme="minorHAnsi" w:cstheme="minorHAnsi"/>
                <w:spacing w:val="40"/>
              </w:rPr>
              <w:t xml:space="preserve"> </w:t>
            </w:r>
          </w:p>
          <w:p w14:paraId="62B06BB2" w14:textId="77777777" w:rsidR="00A1638B" w:rsidRDefault="00274431" w:rsidP="00A1638B">
            <w:pPr>
              <w:pStyle w:val="Zkladntex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8B4569">
              <w:rPr>
                <w:rFonts w:asciiTheme="minorHAnsi" w:hAnsiTheme="minorHAnsi" w:cstheme="minorHAnsi"/>
              </w:rPr>
              <w:t>nesplnění požadavků zadání:</w:t>
            </w:r>
            <w:r w:rsidR="00936562">
              <w:rPr>
                <w:rFonts w:asciiTheme="minorHAnsi" w:hAnsiTheme="minorHAnsi" w:cstheme="minorHAnsi"/>
              </w:rPr>
              <w:t xml:space="preserve"> </w:t>
            </w:r>
            <w:r w:rsidRPr="008B4569">
              <w:rPr>
                <w:rFonts w:asciiTheme="minorHAnsi" w:hAnsiTheme="minorHAnsi" w:cstheme="minorHAnsi"/>
              </w:rPr>
              <w:t>ústní projev se nevztahuje k zadanému tématu/ zadané komunikační situaci;</w:t>
            </w:r>
            <w:r w:rsidR="00936562">
              <w:rPr>
                <w:rFonts w:asciiTheme="minorHAnsi" w:hAnsiTheme="minorHAnsi" w:cstheme="minorHAnsi"/>
              </w:rPr>
              <w:t xml:space="preserve"> </w:t>
            </w:r>
          </w:p>
          <w:p w14:paraId="4F28F3EE" w14:textId="6A2ABE6B" w:rsidR="00A1638B" w:rsidRDefault="00274431" w:rsidP="00A1638B">
            <w:pPr>
              <w:pStyle w:val="Zkladntex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8B4569">
              <w:rPr>
                <w:rFonts w:asciiTheme="minorHAnsi" w:hAnsiTheme="minorHAnsi" w:cstheme="minorHAnsi"/>
              </w:rPr>
              <w:t>nesplňuje požadavky na správnost a rozsah ověřovaných specifických /odborných zna</w:t>
            </w:r>
            <w:r w:rsidR="00A1638B">
              <w:rPr>
                <w:rFonts w:asciiTheme="minorHAnsi" w:hAnsiTheme="minorHAnsi" w:cstheme="minorHAnsi"/>
              </w:rPr>
              <w:t>lostí či dovedností ve 2. části;</w:t>
            </w:r>
            <w:r w:rsidRPr="008B4569">
              <w:rPr>
                <w:rFonts w:asciiTheme="minorHAnsi" w:hAnsiTheme="minorHAnsi" w:cstheme="minorHAnsi"/>
              </w:rPr>
              <w:t xml:space="preserve"> </w:t>
            </w:r>
          </w:p>
          <w:p w14:paraId="6494FB60" w14:textId="39F6E12B" w:rsidR="00274431" w:rsidRPr="008B4569" w:rsidRDefault="00274431" w:rsidP="00A1638B">
            <w:pPr>
              <w:pStyle w:val="Zkladntex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8B4569">
              <w:rPr>
                <w:rFonts w:asciiTheme="minorHAnsi" w:hAnsiTheme="minorHAnsi" w:cstheme="minorHAnsi"/>
              </w:rPr>
              <w:t>ústní projev nelze hodnotit pro nedostatek jazyka.</w:t>
            </w:r>
          </w:p>
          <w:p w14:paraId="427C6C50" w14:textId="77777777" w:rsidR="00274431" w:rsidRDefault="00274431" w:rsidP="00274431">
            <w:pPr>
              <w:pStyle w:val="Zkladntext"/>
              <w:spacing w:before="2" w:after="1"/>
              <w:ind w:left="0"/>
            </w:pPr>
          </w:p>
          <w:p w14:paraId="41236BD4" w14:textId="77777777" w:rsidR="00274431" w:rsidRDefault="00274431" w:rsidP="00232F13">
            <w:pPr>
              <w:pStyle w:val="Default"/>
              <w:jc w:val="both"/>
            </w:pPr>
          </w:p>
          <w:p w14:paraId="5A50E6E9" w14:textId="77777777" w:rsidR="00FE1B3F" w:rsidRDefault="00FE1B3F" w:rsidP="00656542">
            <w:pPr>
              <w:pStyle w:val="Default"/>
              <w:jc w:val="both"/>
            </w:pPr>
          </w:p>
          <w:p w14:paraId="04BE2CE8" w14:textId="14CF04F9" w:rsidR="00FE1B3F" w:rsidRDefault="00182861" w:rsidP="00656542">
            <w:pPr>
              <w:pStyle w:val="Default"/>
              <w:jc w:val="both"/>
            </w:pPr>
            <w:r w:rsidRPr="00FE1B3F">
              <w:rPr>
                <w:b/>
              </w:rPr>
              <w:t>Celkové hodnocení profilové zkouš</w:t>
            </w:r>
            <w:r w:rsidR="00274431">
              <w:rPr>
                <w:b/>
              </w:rPr>
              <w:t>ky z cizího jazyka</w:t>
            </w:r>
          </w:p>
          <w:p w14:paraId="70FE6EF1" w14:textId="77777777" w:rsidR="00956920" w:rsidRDefault="00182861" w:rsidP="00656542">
            <w:pPr>
              <w:pStyle w:val="Default"/>
              <w:jc w:val="both"/>
            </w:pPr>
            <w:r>
              <w:t xml:space="preserve">Poměr písemné a ústní části maturitní zkoušky z českého jazyka je: </w:t>
            </w:r>
            <w:r w:rsidR="00956920">
              <w:t xml:space="preserve"> </w:t>
            </w:r>
          </w:p>
          <w:p w14:paraId="7CC4754A" w14:textId="05538ABF" w:rsidR="00FE1B3F" w:rsidRDefault="00182861" w:rsidP="00656542">
            <w:pPr>
              <w:pStyle w:val="Default"/>
              <w:jc w:val="both"/>
            </w:pPr>
            <w:r>
              <w:t xml:space="preserve">40% písemná část maturitní zkoušky a 60% ústní část maturitní zkoušky. </w:t>
            </w:r>
          </w:p>
          <w:p w14:paraId="640DCA1B" w14:textId="77777777" w:rsidR="00956920" w:rsidRDefault="00956920" w:rsidP="00656542">
            <w:pPr>
              <w:pStyle w:val="Default"/>
              <w:jc w:val="both"/>
            </w:pPr>
          </w:p>
          <w:p w14:paraId="52449EBC" w14:textId="6BF2FE2C" w:rsidR="00336E69" w:rsidRDefault="00182861" w:rsidP="00656542">
            <w:pPr>
              <w:pStyle w:val="Default"/>
              <w:jc w:val="both"/>
            </w:pPr>
            <w:r>
              <w:t>Žák zkoušku úspěšně, pokud úspěšně vyk</w:t>
            </w:r>
            <w:r w:rsidR="00FE1B3F">
              <w:t>oná všechny části dané zkoušky.</w:t>
            </w:r>
          </w:p>
          <w:p w14:paraId="3966DC4A" w14:textId="77777777" w:rsidR="00956920" w:rsidRDefault="00956920" w:rsidP="00656542">
            <w:pPr>
              <w:pStyle w:val="Default"/>
              <w:jc w:val="both"/>
            </w:pPr>
          </w:p>
          <w:p w14:paraId="7E615D8E" w14:textId="2F522B9F" w:rsidR="00956920" w:rsidRDefault="00182861" w:rsidP="00656542">
            <w:pPr>
              <w:pStyle w:val="Default"/>
              <w:jc w:val="both"/>
            </w:pPr>
            <w:r>
              <w:t xml:space="preserve">Bodová hodnocení písemné a ústní části se sečtou, maximálně je tedy možné získat za obě části </w:t>
            </w:r>
            <w:r w:rsidR="00274431">
              <w:t>66</w:t>
            </w:r>
            <w:r>
              <w:t xml:space="preserve"> bodů. Počet bodů, který žák získá, se převede na </w:t>
            </w:r>
            <w:r w:rsidR="00956920">
              <w:t>vážené procent</w:t>
            </w:r>
            <w:r w:rsidR="00F605A5">
              <w:t>n</w:t>
            </w:r>
            <w:r w:rsidR="00956920">
              <w:t>í skóre</w:t>
            </w:r>
            <w:r>
              <w:t xml:space="preserve">. Získaný počet procent se převede na známku dle tabulky: </w:t>
            </w:r>
          </w:p>
          <w:p w14:paraId="0B31CF43" w14:textId="77777777" w:rsidR="00F605A5" w:rsidRDefault="00F605A5" w:rsidP="00B22586">
            <w:pPr>
              <w:pStyle w:val="Default"/>
              <w:jc w:val="both"/>
            </w:pPr>
          </w:p>
          <w:p w14:paraId="37C25C9D" w14:textId="71000934" w:rsidR="00956920" w:rsidRDefault="00956920" w:rsidP="00B22586">
            <w:pPr>
              <w:pStyle w:val="Default"/>
              <w:jc w:val="both"/>
            </w:pPr>
            <w:r>
              <w:t>počet získaných procent     klasifikační stupnice</w:t>
            </w:r>
          </w:p>
          <w:p w14:paraId="457F308A" w14:textId="43B60EDC" w:rsidR="00956920" w:rsidRDefault="00182861" w:rsidP="00B22586">
            <w:pPr>
              <w:pStyle w:val="Default"/>
              <w:jc w:val="both"/>
            </w:pPr>
            <w:r>
              <w:t>100</w:t>
            </w:r>
            <w:r w:rsidR="00BF2FF9">
              <w:t xml:space="preserve"> </w:t>
            </w:r>
            <w:r>
              <w:t>-</w:t>
            </w:r>
            <w:r w:rsidR="00BF2FF9">
              <w:t xml:space="preserve"> </w:t>
            </w:r>
            <w:r>
              <w:t>88</w:t>
            </w:r>
            <w:r w:rsidR="00B22586">
              <w:t>%</w:t>
            </w:r>
            <w:r w:rsidR="0080353F">
              <w:t xml:space="preserve">                                   </w:t>
            </w:r>
            <w:r>
              <w:t>1</w:t>
            </w:r>
            <w:r w:rsidR="00F605A5">
              <w:t xml:space="preserve"> </w:t>
            </w:r>
            <w:r>
              <w:t xml:space="preserve">- výborný </w:t>
            </w:r>
          </w:p>
          <w:p w14:paraId="55EA54F8" w14:textId="5E5353CF" w:rsidR="00956920" w:rsidRDefault="00182861" w:rsidP="00B22586">
            <w:pPr>
              <w:pStyle w:val="Default"/>
              <w:jc w:val="both"/>
            </w:pPr>
            <w:r>
              <w:t>87</w:t>
            </w:r>
            <w:r w:rsidR="00BF2FF9">
              <w:t xml:space="preserve"> </w:t>
            </w:r>
            <w:r w:rsidR="00B22586">
              <w:t>–</w:t>
            </w:r>
            <w:r w:rsidR="00BF2FF9">
              <w:t xml:space="preserve"> </w:t>
            </w:r>
            <w:r>
              <w:t>74</w:t>
            </w:r>
            <w:r w:rsidR="00B22586">
              <w:t>%</w:t>
            </w:r>
            <w:r>
              <w:t xml:space="preserve"> </w:t>
            </w:r>
            <w:r w:rsidR="00956920">
              <w:t xml:space="preserve">     </w:t>
            </w:r>
            <w:r w:rsidR="0080353F">
              <w:t xml:space="preserve">                              </w:t>
            </w:r>
            <w:r>
              <w:t>2</w:t>
            </w:r>
            <w:r w:rsidR="00956920">
              <w:t xml:space="preserve"> </w:t>
            </w:r>
            <w:r>
              <w:t xml:space="preserve">- chvalitebný </w:t>
            </w:r>
          </w:p>
          <w:p w14:paraId="0D4305AB" w14:textId="106C9C1B" w:rsidR="00956920" w:rsidRDefault="00182861" w:rsidP="00B22586">
            <w:pPr>
              <w:pStyle w:val="Default"/>
              <w:jc w:val="both"/>
            </w:pPr>
            <w:r>
              <w:t>73</w:t>
            </w:r>
            <w:r w:rsidR="00BF2FF9">
              <w:t xml:space="preserve"> </w:t>
            </w:r>
            <w:r w:rsidR="00B22586">
              <w:t>–</w:t>
            </w:r>
            <w:r w:rsidR="00F605A5">
              <w:t xml:space="preserve"> </w:t>
            </w:r>
            <w:r>
              <w:t>59</w:t>
            </w:r>
            <w:r w:rsidR="00B22586">
              <w:t>%</w:t>
            </w:r>
            <w:r>
              <w:t xml:space="preserve"> </w:t>
            </w:r>
            <w:r w:rsidR="00956920">
              <w:t xml:space="preserve">     </w:t>
            </w:r>
            <w:r w:rsidR="0080353F">
              <w:t xml:space="preserve">                              </w:t>
            </w:r>
            <w:r>
              <w:t>3</w:t>
            </w:r>
            <w:r w:rsidR="00956920">
              <w:t xml:space="preserve"> </w:t>
            </w:r>
            <w:r>
              <w:t xml:space="preserve">- dobrý </w:t>
            </w:r>
          </w:p>
          <w:p w14:paraId="472219B8" w14:textId="647B26E1" w:rsidR="00956920" w:rsidRDefault="00182861" w:rsidP="00B22586">
            <w:pPr>
              <w:pStyle w:val="Default"/>
              <w:jc w:val="both"/>
            </w:pPr>
            <w:r>
              <w:t>58</w:t>
            </w:r>
            <w:r w:rsidR="00F605A5">
              <w:t xml:space="preserve"> </w:t>
            </w:r>
            <w:r w:rsidR="00B22586">
              <w:t>–</w:t>
            </w:r>
            <w:r w:rsidR="00F605A5">
              <w:t xml:space="preserve"> </w:t>
            </w:r>
            <w:r w:rsidR="00B22586">
              <w:t>44%</w:t>
            </w:r>
            <w:r w:rsidR="00956920">
              <w:t xml:space="preserve">                         </w:t>
            </w:r>
            <w:r w:rsidR="0080353F">
              <w:t xml:space="preserve">           </w:t>
            </w:r>
            <w:r>
              <w:t>4</w:t>
            </w:r>
            <w:r w:rsidR="00956920">
              <w:t xml:space="preserve"> </w:t>
            </w:r>
            <w:r>
              <w:t xml:space="preserve">- dostatečný </w:t>
            </w:r>
          </w:p>
          <w:p w14:paraId="23ACD948" w14:textId="7F1F4AA7" w:rsidR="00956920" w:rsidRDefault="00182861" w:rsidP="00B22586">
            <w:pPr>
              <w:pStyle w:val="Default"/>
              <w:jc w:val="both"/>
            </w:pPr>
            <w:r>
              <w:t>43</w:t>
            </w:r>
            <w:r w:rsidR="00F605A5">
              <w:t xml:space="preserve"> </w:t>
            </w:r>
            <w:r w:rsidR="00B22586">
              <w:t>–</w:t>
            </w:r>
            <w:r w:rsidR="00F605A5">
              <w:t xml:space="preserve"> </w:t>
            </w:r>
            <w:r>
              <w:t>0</w:t>
            </w:r>
            <w:r w:rsidR="00B22586">
              <w:t>%</w:t>
            </w:r>
            <w:r>
              <w:t xml:space="preserve"> </w:t>
            </w:r>
            <w:r w:rsidR="00956920">
              <w:t xml:space="preserve">        </w:t>
            </w:r>
            <w:r w:rsidR="0080353F">
              <w:t xml:space="preserve">                             </w:t>
            </w:r>
            <w:r w:rsidR="00B557D8">
              <w:t>5</w:t>
            </w:r>
            <w:r>
              <w:t xml:space="preserve">- nedostatečný </w:t>
            </w:r>
          </w:p>
          <w:p w14:paraId="7862BD46" w14:textId="77777777" w:rsidR="00956920" w:rsidRDefault="00956920" w:rsidP="00B22586">
            <w:pPr>
              <w:pStyle w:val="Default"/>
              <w:jc w:val="both"/>
            </w:pPr>
          </w:p>
          <w:p w14:paraId="4E387484" w14:textId="77777777" w:rsidR="00B22586" w:rsidRDefault="00182861" w:rsidP="00956920">
            <w:pPr>
              <w:pStyle w:val="Default"/>
              <w:jc w:val="both"/>
            </w:pPr>
            <w:r>
              <w:lastRenderedPageBreak/>
              <w:t xml:space="preserve">Žák vykoná zkoušku nebo část zkoušky úspěšně, pokud je hodnocen stupněm 1 až 4 uvedeným v tabulce. </w:t>
            </w:r>
          </w:p>
          <w:p w14:paraId="619C5E41" w14:textId="3DCF212C" w:rsidR="00FB31DE" w:rsidRDefault="00182861" w:rsidP="00956920">
            <w:pPr>
              <w:pStyle w:val="Default"/>
              <w:jc w:val="both"/>
              <w:rPr>
                <w:sz w:val="20"/>
                <w:szCs w:val="20"/>
              </w:rPr>
            </w:pPr>
            <w:r>
              <w:t xml:space="preserve">V případě, že žák některou část zkoušky nevykonal úspěšně, opakuje tu část zkoušky, kterou nevykonal úspěšně. </w:t>
            </w:r>
          </w:p>
        </w:tc>
      </w:tr>
      <w:tr w:rsidR="00FB31DE" w14:paraId="5BB0B6AF" w14:textId="77777777" w:rsidTr="0080353F">
        <w:trPr>
          <w:trHeight w:val="99"/>
        </w:trPr>
        <w:tc>
          <w:tcPr>
            <w:tcW w:w="9180" w:type="dxa"/>
            <w:gridSpan w:val="2"/>
          </w:tcPr>
          <w:p w14:paraId="07D6EF8D" w14:textId="16098469" w:rsidR="00FB31DE" w:rsidRDefault="00FB31DE" w:rsidP="00656542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FB31DE" w14:paraId="03E7198E" w14:textId="77777777" w:rsidTr="0080353F">
        <w:trPr>
          <w:trHeight w:val="99"/>
        </w:trPr>
        <w:tc>
          <w:tcPr>
            <w:tcW w:w="9180" w:type="dxa"/>
            <w:gridSpan w:val="2"/>
          </w:tcPr>
          <w:p w14:paraId="3F3C2388" w14:textId="0F09BE3C" w:rsidR="0067272A" w:rsidRPr="0088236E" w:rsidRDefault="0080353F" w:rsidP="00656542">
            <w:pPr>
              <w:pStyle w:val="Default"/>
              <w:jc w:val="both"/>
            </w:pPr>
            <w:r>
              <w:t xml:space="preserve">                </w:t>
            </w:r>
          </w:p>
          <w:p w14:paraId="255D35D6" w14:textId="06295AC9" w:rsidR="00FB31DE" w:rsidRDefault="00FB31DE" w:rsidP="00656542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FB31DE" w14:paraId="548E7EA2" w14:textId="77777777">
        <w:trPr>
          <w:gridAfter w:val="1"/>
          <w:wAfter w:w="1249" w:type="dxa"/>
          <w:trHeight w:val="99"/>
        </w:trPr>
        <w:tc>
          <w:tcPr>
            <w:tcW w:w="7931" w:type="dxa"/>
          </w:tcPr>
          <w:p w14:paraId="53CC02A6" w14:textId="7B8C82B2" w:rsidR="00FB31DE" w:rsidRDefault="00FB31DE">
            <w:pPr>
              <w:pStyle w:val="Default"/>
              <w:rPr>
                <w:sz w:val="20"/>
                <w:szCs w:val="20"/>
              </w:rPr>
            </w:pPr>
          </w:p>
        </w:tc>
      </w:tr>
      <w:tr w:rsidR="00FB31DE" w14:paraId="51F8D5AF" w14:textId="77777777">
        <w:trPr>
          <w:gridAfter w:val="1"/>
          <w:wAfter w:w="1249" w:type="dxa"/>
          <w:trHeight w:val="567"/>
        </w:trPr>
        <w:tc>
          <w:tcPr>
            <w:tcW w:w="7931" w:type="dxa"/>
          </w:tcPr>
          <w:p w14:paraId="1EE1A80E" w14:textId="77777777" w:rsidR="00FB31DE" w:rsidRDefault="00FB31DE">
            <w:pPr>
              <w:pStyle w:val="Default"/>
              <w:rPr>
                <w:sz w:val="20"/>
                <w:szCs w:val="20"/>
              </w:rPr>
            </w:pPr>
          </w:p>
        </w:tc>
      </w:tr>
      <w:tr w:rsidR="00FB31DE" w14:paraId="44B1F64C" w14:textId="77777777">
        <w:trPr>
          <w:gridAfter w:val="1"/>
          <w:wAfter w:w="1249" w:type="dxa"/>
          <w:trHeight w:val="99"/>
        </w:trPr>
        <w:tc>
          <w:tcPr>
            <w:tcW w:w="7931" w:type="dxa"/>
          </w:tcPr>
          <w:p w14:paraId="522A880B" w14:textId="587ED0E9" w:rsidR="00FB31DE" w:rsidRDefault="00FB31DE">
            <w:pPr>
              <w:pStyle w:val="Default"/>
              <w:rPr>
                <w:sz w:val="20"/>
                <w:szCs w:val="20"/>
              </w:rPr>
            </w:pPr>
          </w:p>
        </w:tc>
      </w:tr>
      <w:tr w:rsidR="00FB31DE" w14:paraId="776A02D8" w14:textId="77777777">
        <w:trPr>
          <w:gridAfter w:val="1"/>
          <w:wAfter w:w="1249" w:type="dxa"/>
          <w:trHeight w:val="566"/>
        </w:trPr>
        <w:tc>
          <w:tcPr>
            <w:tcW w:w="7931" w:type="dxa"/>
          </w:tcPr>
          <w:p w14:paraId="3EE1CC5E" w14:textId="14216A5E" w:rsidR="00FB31DE" w:rsidRDefault="00FB31DE">
            <w:pPr>
              <w:pStyle w:val="Default"/>
              <w:rPr>
                <w:sz w:val="20"/>
                <w:szCs w:val="20"/>
              </w:rPr>
            </w:pPr>
          </w:p>
        </w:tc>
      </w:tr>
      <w:tr w:rsidR="00FB31DE" w14:paraId="1D5DD38B" w14:textId="77777777">
        <w:trPr>
          <w:gridAfter w:val="1"/>
          <w:wAfter w:w="1249" w:type="dxa"/>
          <w:trHeight w:val="712"/>
        </w:trPr>
        <w:tc>
          <w:tcPr>
            <w:tcW w:w="7931" w:type="dxa"/>
          </w:tcPr>
          <w:p w14:paraId="2D79311C" w14:textId="77777777" w:rsidR="00FB31DE" w:rsidRDefault="00FB31DE">
            <w:pPr>
              <w:pStyle w:val="Default"/>
              <w:rPr>
                <w:sz w:val="20"/>
                <w:szCs w:val="20"/>
              </w:rPr>
            </w:pPr>
          </w:p>
        </w:tc>
      </w:tr>
      <w:tr w:rsidR="00956920" w14:paraId="611FEC38" w14:textId="77777777">
        <w:trPr>
          <w:gridAfter w:val="1"/>
          <w:wAfter w:w="1249" w:type="dxa"/>
          <w:trHeight w:val="712"/>
        </w:trPr>
        <w:tc>
          <w:tcPr>
            <w:tcW w:w="7931" w:type="dxa"/>
          </w:tcPr>
          <w:p w14:paraId="7DC09BA4" w14:textId="77777777" w:rsidR="00956920" w:rsidRDefault="00956920">
            <w:pPr>
              <w:pStyle w:val="Default"/>
              <w:rPr>
                <w:sz w:val="20"/>
                <w:szCs w:val="20"/>
              </w:rPr>
            </w:pPr>
          </w:p>
        </w:tc>
      </w:tr>
      <w:tr w:rsidR="00956920" w14:paraId="47518DE4" w14:textId="77777777">
        <w:trPr>
          <w:gridAfter w:val="1"/>
          <w:wAfter w:w="1249" w:type="dxa"/>
          <w:trHeight w:val="712"/>
        </w:trPr>
        <w:tc>
          <w:tcPr>
            <w:tcW w:w="7931" w:type="dxa"/>
          </w:tcPr>
          <w:p w14:paraId="03113CAE" w14:textId="77777777" w:rsidR="00956920" w:rsidRDefault="00956920">
            <w:pPr>
              <w:pStyle w:val="Default"/>
              <w:rPr>
                <w:sz w:val="20"/>
                <w:szCs w:val="20"/>
              </w:rPr>
            </w:pPr>
          </w:p>
        </w:tc>
      </w:tr>
      <w:tr w:rsidR="00956920" w14:paraId="0A2D762F" w14:textId="77777777">
        <w:trPr>
          <w:gridAfter w:val="1"/>
          <w:wAfter w:w="1249" w:type="dxa"/>
          <w:trHeight w:val="712"/>
        </w:trPr>
        <w:tc>
          <w:tcPr>
            <w:tcW w:w="7931" w:type="dxa"/>
          </w:tcPr>
          <w:p w14:paraId="702D0533" w14:textId="77777777" w:rsidR="00956920" w:rsidRDefault="00956920">
            <w:pPr>
              <w:pStyle w:val="Default"/>
              <w:rPr>
                <w:sz w:val="20"/>
                <w:szCs w:val="20"/>
              </w:rPr>
            </w:pPr>
          </w:p>
        </w:tc>
      </w:tr>
      <w:tr w:rsidR="00956920" w14:paraId="650A8FCD" w14:textId="77777777">
        <w:trPr>
          <w:gridAfter w:val="1"/>
          <w:wAfter w:w="1249" w:type="dxa"/>
          <w:trHeight w:val="712"/>
        </w:trPr>
        <w:tc>
          <w:tcPr>
            <w:tcW w:w="7931" w:type="dxa"/>
          </w:tcPr>
          <w:p w14:paraId="01C105DD" w14:textId="77777777" w:rsidR="00956920" w:rsidRDefault="00956920">
            <w:pPr>
              <w:pStyle w:val="Default"/>
              <w:rPr>
                <w:sz w:val="20"/>
                <w:szCs w:val="20"/>
              </w:rPr>
            </w:pPr>
          </w:p>
        </w:tc>
      </w:tr>
      <w:tr w:rsidR="00956920" w14:paraId="42B9E674" w14:textId="77777777">
        <w:trPr>
          <w:gridAfter w:val="1"/>
          <w:wAfter w:w="1249" w:type="dxa"/>
          <w:trHeight w:val="712"/>
        </w:trPr>
        <w:tc>
          <w:tcPr>
            <w:tcW w:w="7931" w:type="dxa"/>
          </w:tcPr>
          <w:p w14:paraId="18DBC8FA" w14:textId="77777777" w:rsidR="00956920" w:rsidRDefault="00956920">
            <w:pPr>
              <w:pStyle w:val="Default"/>
              <w:rPr>
                <w:sz w:val="20"/>
                <w:szCs w:val="20"/>
              </w:rPr>
            </w:pPr>
          </w:p>
        </w:tc>
      </w:tr>
      <w:tr w:rsidR="00956920" w14:paraId="457C96FA" w14:textId="77777777">
        <w:trPr>
          <w:gridAfter w:val="1"/>
          <w:wAfter w:w="1249" w:type="dxa"/>
          <w:trHeight w:val="712"/>
        </w:trPr>
        <w:tc>
          <w:tcPr>
            <w:tcW w:w="7931" w:type="dxa"/>
          </w:tcPr>
          <w:p w14:paraId="642DA0BE" w14:textId="77777777" w:rsidR="00956920" w:rsidRDefault="00956920">
            <w:pPr>
              <w:pStyle w:val="Default"/>
              <w:rPr>
                <w:sz w:val="20"/>
                <w:szCs w:val="20"/>
              </w:rPr>
            </w:pPr>
          </w:p>
        </w:tc>
      </w:tr>
      <w:tr w:rsidR="00956920" w14:paraId="15AC9082" w14:textId="77777777">
        <w:trPr>
          <w:gridAfter w:val="1"/>
          <w:wAfter w:w="1249" w:type="dxa"/>
          <w:trHeight w:val="712"/>
        </w:trPr>
        <w:tc>
          <w:tcPr>
            <w:tcW w:w="7931" w:type="dxa"/>
          </w:tcPr>
          <w:p w14:paraId="6A1A7FFA" w14:textId="77777777" w:rsidR="00956920" w:rsidRDefault="00956920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3894334" w14:textId="77777777" w:rsidR="008E01EB" w:rsidRDefault="008E01EB" w:rsidP="00FB31DE">
      <w:pPr>
        <w:pStyle w:val="Default"/>
        <w:jc w:val="both"/>
        <w:rPr>
          <w:sz w:val="20"/>
          <w:szCs w:val="20"/>
        </w:rPr>
      </w:pPr>
    </w:p>
    <w:sectPr w:rsidR="008E0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3F2"/>
    <w:multiLevelType w:val="hybridMultilevel"/>
    <w:tmpl w:val="778A7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7D8C"/>
    <w:multiLevelType w:val="hybridMultilevel"/>
    <w:tmpl w:val="6BA4069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7EE3"/>
    <w:multiLevelType w:val="hybridMultilevel"/>
    <w:tmpl w:val="343C57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4FDE"/>
    <w:multiLevelType w:val="hybridMultilevel"/>
    <w:tmpl w:val="9AB475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02865"/>
    <w:multiLevelType w:val="hybridMultilevel"/>
    <w:tmpl w:val="EC6ED9E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5C6"/>
    <w:multiLevelType w:val="hybridMultilevel"/>
    <w:tmpl w:val="9F5042C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46A6E"/>
    <w:multiLevelType w:val="hybridMultilevel"/>
    <w:tmpl w:val="D03AC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97B04"/>
    <w:multiLevelType w:val="hybridMultilevel"/>
    <w:tmpl w:val="4A2E55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844E2"/>
    <w:multiLevelType w:val="hybridMultilevel"/>
    <w:tmpl w:val="6BB4603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4532"/>
    <w:multiLevelType w:val="hybridMultilevel"/>
    <w:tmpl w:val="8A7655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C3CD8"/>
    <w:multiLevelType w:val="hybridMultilevel"/>
    <w:tmpl w:val="84A41E08"/>
    <w:lvl w:ilvl="0" w:tplc="127ED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E0519"/>
    <w:multiLevelType w:val="hybridMultilevel"/>
    <w:tmpl w:val="5F6629E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C"/>
    <w:rsid w:val="00006B8D"/>
    <w:rsid w:val="000F7FAF"/>
    <w:rsid w:val="00182861"/>
    <w:rsid w:val="00232F13"/>
    <w:rsid w:val="00274431"/>
    <w:rsid w:val="002A23D5"/>
    <w:rsid w:val="00336E69"/>
    <w:rsid w:val="003B0F52"/>
    <w:rsid w:val="00510428"/>
    <w:rsid w:val="006419A1"/>
    <w:rsid w:val="00656542"/>
    <w:rsid w:val="0067272A"/>
    <w:rsid w:val="006A7DC9"/>
    <w:rsid w:val="00713C97"/>
    <w:rsid w:val="007D0444"/>
    <w:rsid w:val="0080353F"/>
    <w:rsid w:val="0088236E"/>
    <w:rsid w:val="008B4569"/>
    <w:rsid w:val="008B55BC"/>
    <w:rsid w:val="008C4597"/>
    <w:rsid w:val="008E01EB"/>
    <w:rsid w:val="00936562"/>
    <w:rsid w:val="00956920"/>
    <w:rsid w:val="009F76B8"/>
    <w:rsid w:val="00A1638B"/>
    <w:rsid w:val="00A7238E"/>
    <w:rsid w:val="00A83D92"/>
    <w:rsid w:val="00B22586"/>
    <w:rsid w:val="00B2472A"/>
    <w:rsid w:val="00B557D8"/>
    <w:rsid w:val="00BF2FF9"/>
    <w:rsid w:val="00C7283A"/>
    <w:rsid w:val="00CF69AA"/>
    <w:rsid w:val="00D4141A"/>
    <w:rsid w:val="00F605A5"/>
    <w:rsid w:val="00FB31DE"/>
    <w:rsid w:val="00FD1174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2856"/>
  <w15:chartTrackingRefBased/>
  <w15:docId w15:val="{657DDB6E-0C7A-457E-93E2-DA4AA80D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23D5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E01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23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59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83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744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74431"/>
    <w:pPr>
      <w:widowControl w:val="0"/>
      <w:autoSpaceDE w:val="0"/>
      <w:autoSpaceDN w:val="0"/>
      <w:spacing w:after="0" w:line="240" w:lineRule="auto"/>
      <w:ind w:left="1556"/>
    </w:pPr>
    <w:rPr>
      <w:rFonts w:ascii="Segoe UI" w:eastAsia="Segoe UI" w:hAnsi="Segoe UI" w:cs="Segoe UI"/>
      <w:kern w:val="0"/>
      <w:sz w:val="24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74431"/>
    <w:rPr>
      <w:rFonts w:ascii="Segoe UI" w:eastAsia="Segoe UI" w:hAnsi="Segoe UI" w:cs="Segoe UI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274431"/>
    <w:pPr>
      <w:widowControl w:val="0"/>
      <w:autoSpaceDE w:val="0"/>
      <w:autoSpaceDN w:val="0"/>
      <w:spacing w:after="0" w:line="317" w:lineRule="exact"/>
      <w:ind w:left="108"/>
    </w:pPr>
    <w:rPr>
      <w:rFonts w:ascii="Segoe UI" w:eastAsia="Segoe UI" w:hAnsi="Segoe UI" w:cs="Segoe UI"/>
      <w:kern w:val="0"/>
      <w14:ligatures w14:val="none"/>
    </w:rPr>
  </w:style>
  <w:style w:type="paragraph" w:styleId="Bezmezer">
    <w:name w:val="No Spacing"/>
    <w:uiPriority w:val="1"/>
    <w:qFormat/>
    <w:rsid w:val="008B4569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CCB26-D8F2-452A-99E8-E30C287B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Iva</dc:creator>
  <cp:keywords/>
  <dc:description/>
  <cp:lastModifiedBy>Říha Jan</cp:lastModifiedBy>
  <cp:revision>4</cp:revision>
  <cp:lastPrinted>2023-02-14T09:23:00Z</cp:lastPrinted>
  <dcterms:created xsi:type="dcterms:W3CDTF">2023-02-15T08:44:00Z</dcterms:created>
  <dcterms:modified xsi:type="dcterms:W3CDTF">2023-09-26T08:33:00Z</dcterms:modified>
</cp:coreProperties>
</file>